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DB" w:rsidRPr="007F465F" w:rsidRDefault="00D259DB" w:rsidP="00D259DB">
      <w:pPr>
        <w:jc w:val="center"/>
        <w:rPr>
          <w:rFonts w:ascii="Comic Sans MS" w:hAnsi="Comic Sans MS"/>
          <w:noProof/>
          <w:sz w:val="28"/>
          <w:szCs w:val="28"/>
        </w:rPr>
      </w:pPr>
      <w:bookmarkStart w:id="0" w:name="_GoBack"/>
      <w:bookmarkEnd w:id="0"/>
      <w:r>
        <w:rPr>
          <w:rFonts w:ascii="Comic Sans MS" w:hAnsi="Comic Sans MS"/>
          <w:noProof/>
          <w:sz w:val="28"/>
          <w:szCs w:val="28"/>
        </w:rPr>
        <w:t>Charges</w:t>
      </w:r>
      <w:r w:rsidRPr="007F465F">
        <w:rPr>
          <w:rFonts w:ascii="Comic Sans MS" w:hAnsi="Comic Sans MS"/>
          <w:noProof/>
          <w:sz w:val="28"/>
          <w:szCs w:val="28"/>
        </w:rPr>
        <w:t xml:space="preserve"> Policy</w:t>
      </w:r>
    </w:p>
    <w:p w:rsidR="00D259DB" w:rsidRDefault="00D259DB" w:rsidP="00D259DB">
      <w:pPr>
        <w:jc w:val="center"/>
        <w:rPr>
          <w:noProof/>
        </w:rPr>
      </w:pPr>
    </w:p>
    <w:p w:rsidR="00D259DB" w:rsidRDefault="00D259DB" w:rsidP="00D259DB">
      <w:pPr>
        <w:jc w:val="center"/>
      </w:pPr>
      <w:r>
        <w:rPr>
          <w:noProof/>
          <w:lang w:eastAsia="en-GB"/>
        </w:rPr>
        <w:drawing>
          <wp:inline distT="0" distB="0" distL="0" distR="0">
            <wp:extent cx="1552575" cy="2000250"/>
            <wp:effectExtent l="0" t="0" r="9525"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000250"/>
                    </a:xfrm>
                    <a:prstGeom prst="rect">
                      <a:avLst/>
                    </a:prstGeom>
                    <a:noFill/>
                    <a:ln>
                      <a:noFill/>
                    </a:ln>
                  </pic:spPr>
                </pic:pic>
              </a:graphicData>
            </a:graphic>
          </wp:inline>
        </w:drawing>
      </w:r>
    </w:p>
    <w:p w:rsidR="00D259DB" w:rsidRDefault="00D259DB" w:rsidP="00D259DB">
      <w:pPr>
        <w:jc w:val="center"/>
        <w:rPr>
          <w:rFonts w:ascii="Comic Sans MS" w:hAnsi="Comic Sans MS"/>
          <w:b/>
          <w:sz w:val="32"/>
          <w:szCs w:val="32"/>
        </w:rPr>
      </w:pPr>
    </w:p>
    <w:p w:rsidR="00D259DB" w:rsidRDefault="00D259DB" w:rsidP="00D259DB">
      <w:pPr>
        <w:jc w:val="center"/>
        <w:rPr>
          <w:rFonts w:ascii="Comic Sans MS" w:hAnsi="Comic Sans MS"/>
          <w:b/>
          <w:sz w:val="32"/>
          <w:szCs w:val="32"/>
        </w:rPr>
      </w:pPr>
    </w:p>
    <w:p w:rsidR="00D259DB" w:rsidRDefault="00D259DB" w:rsidP="00D259DB">
      <w:pPr>
        <w:jc w:val="center"/>
        <w:rPr>
          <w:rFonts w:ascii="Comic Sans MS" w:hAnsi="Comic Sans MS"/>
          <w:b/>
          <w:sz w:val="32"/>
          <w:szCs w:val="32"/>
        </w:rPr>
      </w:pPr>
    </w:p>
    <w:p w:rsidR="00D259DB" w:rsidRDefault="00D259DB" w:rsidP="00D259DB">
      <w:pPr>
        <w:jc w:val="center"/>
        <w:rPr>
          <w:rFonts w:ascii="Comic Sans MS" w:hAnsi="Comic Sans MS"/>
          <w:b/>
          <w:sz w:val="32"/>
          <w:szCs w:val="32"/>
        </w:rPr>
      </w:pPr>
    </w:p>
    <w:p w:rsidR="00D259DB" w:rsidRDefault="00D259DB" w:rsidP="00D259DB">
      <w:pPr>
        <w:jc w:val="center"/>
        <w:rPr>
          <w:rFonts w:ascii="Arial" w:hAnsi="Arial" w:cs="Arial"/>
          <w:sz w:val="28"/>
          <w:szCs w:val="28"/>
        </w:rPr>
      </w:pPr>
    </w:p>
    <w:p w:rsidR="00D259DB" w:rsidRDefault="00D259DB" w:rsidP="00D259DB">
      <w:pPr>
        <w:jc w:val="center"/>
        <w:rPr>
          <w:rFonts w:ascii="Comic Sans MS" w:hAnsi="Comic Sans MS"/>
          <w:b/>
          <w:sz w:val="32"/>
          <w:szCs w:val="32"/>
        </w:rPr>
      </w:pPr>
    </w:p>
    <w:p w:rsidR="00D259DB" w:rsidRDefault="00D259DB" w:rsidP="00D259DB">
      <w:pPr>
        <w:jc w:val="center"/>
        <w:rPr>
          <w:rFonts w:ascii="Comic Sans MS" w:hAnsi="Comic Sans MS"/>
        </w:rPr>
      </w:pPr>
    </w:p>
    <w:p w:rsidR="00D259DB" w:rsidRDefault="00D259DB" w:rsidP="00D259DB">
      <w:pPr>
        <w:pStyle w:val="Title"/>
        <w:jc w:val="left"/>
        <w:rPr>
          <w:rFonts w:ascii="Comic Sans MS" w:hAnsi="Comic Sans MS" w:cs="Arial"/>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840"/>
        <w:gridCol w:w="2841"/>
        <w:gridCol w:w="2841"/>
      </w:tblGrid>
      <w:tr w:rsidR="00D259DB" w:rsidTr="009D534F">
        <w:tc>
          <w:tcPr>
            <w:tcW w:w="2840" w:type="dxa"/>
            <w:tcBorders>
              <w:top w:val="single" w:sz="8" w:space="0" w:color="000000"/>
              <w:left w:val="single" w:sz="8" w:space="0" w:color="000000"/>
              <w:bottom w:val="single" w:sz="8" w:space="0" w:color="000000"/>
              <w:right w:val="single" w:sz="8" w:space="0" w:color="000000"/>
            </w:tcBorders>
            <w:shd w:val="pct20" w:color="auto" w:fill="auto"/>
            <w:hideMark/>
          </w:tcPr>
          <w:p w:rsidR="00D259DB" w:rsidRDefault="00D259DB" w:rsidP="009D534F">
            <w:pPr>
              <w:pStyle w:val="Title"/>
              <w:rPr>
                <w:rFonts w:ascii="Comic Sans MS" w:hAnsi="Comic Sans MS" w:cs="Arial"/>
                <w:b w:val="0"/>
                <w:sz w:val="22"/>
                <w:szCs w:val="28"/>
                <w:u w:val="none"/>
              </w:rPr>
            </w:pPr>
            <w:r>
              <w:rPr>
                <w:rFonts w:ascii="Comic Sans MS" w:hAnsi="Comic Sans MS" w:cs="Arial"/>
                <w:b w:val="0"/>
                <w:sz w:val="22"/>
                <w:szCs w:val="28"/>
                <w:u w:val="none"/>
              </w:rPr>
              <w:t>Agree Date</w:t>
            </w:r>
          </w:p>
        </w:tc>
        <w:tc>
          <w:tcPr>
            <w:tcW w:w="2841" w:type="dxa"/>
            <w:tcBorders>
              <w:top w:val="single" w:sz="8" w:space="0" w:color="000000"/>
              <w:left w:val="single" w:sz="8" w:space="0" w:color="000000"/>
              <w:bottom w:val="single" w:sz="8" w:space="0" w:color="000000"/>
              <w:right w:val="single" w:sz="8" w:space="0" w:color="000000"/>
            </w:tcBorders>
            <w:shd w:val="pct20" w:color="auto" w:fill="auto"/>
            <w:hideMark/>
          </w:tcPr>
          <w:p w:rsidR="00D259DB" w:rsidRDefault="00D259DB" w:rsidP="009D534F">
            <w:pPr>
              <w:pStyle w:val="Title"/>
              <w:rPr>
                <w:rFonts w:ascii="Comic Sans MS" w:hAnsi="Comic Sans MS" w:cs="Arial"/>
                <w:b w:val="0"/>
                <w:sz w:val="22"/>
                <w:szCs w:val="28"/>
                <w:u w:val="none"/>
              </w:rPr>
            </w:pPr>
            <w:r>
              <w:rPr>
                <w:rFonts w:ascii="Comic Sans MS" w:hAnsi="Comic Sans MS" w:cs="Arial"/>
                <w:b w:val="0"/>
                <w:sz w:val="22"/>
                <w:szCs w:val="28"/>
                <w:u w:val="none"/>
              </w:rPr>
              <w:t>Review Date</w:t>
            </w:r>
          </w:p>
        </w:tc>
        <w:tc>
          <w:tcPr>
            <w:tcW w:w="2841" w:type="dxa"/>
            <w:tcBorders>
              <w:top w:val="single" w:sz="8" w:space="0" w:color="000000"/>
              <w:left w:val="single" w:sz="8" w:space="0" w:color="000000"/>
              <w:bottom w:val="single" w:sz="8" w:space="0" w:color="000000"/>
              <w:right w:val="single" w:sz="8" w:space="0" w:color="000000"/>
            </w:tcBorders>
            <w:shd w:val="pct20" w:color="auto" w:fill="auto"/>
            <w:hideMark/>
          </w:tcPr>
          <w:p w:rsidR="00D259DB" w:rsidRDefault="00D259DB" w:rsidP="009D534F">
            <w:pPr>
              <w:pStyle w:val="Title"/>
              <w:rPr>
                <w:rFonts w:ascii="Comic Sans MS" w:hAnsi="Comic Sans MS" w:cs="Arial"/>
                <w:b w:val="0"/>
                <w:sz w:val="22"/>
                <w:szCs w:val="28"/>
                <w:u w:val="none"/>
              </w:rPr>
            </w:pPr>
            <w:r>
              <w:rPr>
                <w:rFonts w:ascii="Comic Sans MS" w:hAnsi="Comic Sans MS" w:cs="Arial"/>
                <w:b w:val="0"/>
                <w:sz w:val="22"/>
                <w:szCs w:val="28"/>
                <w:u w:val="none"/>
              </w:rPr>
              <w:t>Person Responsible</w:t>
            </w:r>
          </w:p>
        </w:tc>
      </w:tr>
      <w:tr w:rsidR="00D259DB" w:rsidTr="009D534F">
        <w:tc>
          <w:tcPr>
            <w:tcW w:w="2840" w:type="dxa"/>
            <w:tcBorders>
              <w:top w:val="single" w:sz="8" w:space="0" w:color="000000"/>
              <w:left w:val="single" w:sz="8" w:space="0" w:color="000000"/>
              <w:bottom w:val="single" w:sz="8" w:space="0" w:color="000000"/>
              <w:right w:val="single" w:sz="8" w:space="0" w:color="000000"/>
            </w:tcBorders>
            <w:hideMark/>
          </w:tcPr>
          <w:p w:rsidR="00D259DB" w:rsidRDefault="00047C0E" w:rsidP="009D534F">
            <w:pPr>
              <w:pStyle w:val="Title"/>
              <w:rPr>
                <w:rFonts w:ascii="Comic Sans MS" w:hAnsi="Comic Sans MS" w:cs="Arial"/>
                <w:b w:val="0"/>
                <w:sz w:val="22"/>
                <w:szCs w:val="28"/>
                <w:u w:val="none"/>
              </w:rPr>
            </w:pPr>
            <w:r>
              <w:rPr>
                <w:rFonts w:ascii="Comic Sans MS" w:hAnsi="Comic Sans MS" w:cs="Arial"/>
                <w:b w:val="0"/>
                <w:sz w:val="22"/>
                <w:szCs w:val="28"/>
                <w:u w:val="none"/>
              </w:rPr>
              <w:t>November 16</w:t>
            </w:r>
          </w:p>
        </w:tc>
        <w:tc>
          <w:tcPr>
            <w:tcW w:w="2841" w:type="dxa"/>
            <w:tcBorders>
              <w:top w:val="single" w:sz="8" w:space="0" w:color="000000"/>
              <w:left w:val="single" w:sz="8" w:space="0" w:color="000000"/>
              <w:bottom w:val="single" w:sz="8" w:space="0" w:color="000000"/>
              <w:right w:val="single" w:sz="8" w:space="0" w:color="000000"/>
            </w:tcBorders>
            <w:hideMark/>
          </w:tcPr>
          <w:p w:rsidR="00D259DB" w:rsidRDefault="00047C0E" w:rsidP="009D534F">
            <w:pPr>
              <w:pStyle w:val="Title"/>
              <w:rPr>
                <w:rFonts w:ascii="Comic Sans MS" w:hAnsi="Comic Sans MS" w:cs="Arial"/>
                <w:b w:val="0"/>
                <w:sz w:val="22"/>
                <w:szCs w:val="28"/>
                <w:u w:val="none"/>
              </w:rPr>
            </w:pPr>
            <w:r>
              <w:rPr>
                <w:rFonts w:ascii="Comic Sans MS" w:hAnsi="Comic Sans MS" w:cs="Arial"/>
                <w:b w:val="0"/>
                <w:sz w:val="22"/>
                <w:szCs w:val="28"/>
                <w:u w:val="none"/>
              </w:rPr>
              <w:t>November 17</w:t>
            </w:r>
          </w:p>
        </w:tc>
        <w:tc>
          <w:tcPr>
            <w:tcW w:w="2841" w:type="dxa"/>
            <w:tcBorders>
              <w:top w:val="single" w:sz="8" w:space="0" w:color="000000"/>
              <w:left w:val="single" w:sz="8" w:space="0" w:color="000000"/>
              <w:bottom w:val="single" w:sz="8" w:space="0" w:color="000000"/>
              <w:right w:val="single" w:sz="8" w:space="0" w:color="000000"/>
            </w:tcBorders>
            <w:hideMark/>
          </w:tcPr>
          <w:p w:rsidR="00D259DB" w:rsidRDefault="00D259DB" w:rsidP="009D534F">
            <w:pPr>
              <w:pStyle w:val="Title"/>
              <w:rPr>
                <w:rFonts w:ascii="Comic Sans MS" w:hAnsi="Comic Sans MS" w:cs="Arial"/>
                <w:b w:val="0"/>
                <w:sz w:val="22"/>
                <w:szCs w:val="28"/>
                <w:u w:val="none"/>
              </w:rPr>
            </w:pPr>
            <w:r>
              <w:rPr>
                <w:rFonts w:ascii="Comic Sans MS" w:hAnsi="Comic Sans MS" w:cs="Arial"/>
                <w:b w:val="0"/>
                <w:sz w:val="22"/>
                <w:szCs w:val="28"/>
                <w:u w:val="none"/>
              </w:rPr>
              <w:t>Mr Smith</w:t>
            </w:r>
          </w:p>
        </w:tc>
      </w:tr>
    </w:tbl>
    <w:p w:rsidR="00D259DB" w:rsidRDefault="00D259DB" w:rsidP="00D259DB">
      <w:pPr>
        <w:pStyle w:val="Title"/>
        <w:jc w:val="left"/>
        <w:rPr>
          <w:rFonts w:ascii="Comic Sans MS" w:hAnsi="Comic Sans MS" w:cs="Arial"/>
          <w:sz w:val="28"/>
          <w:szCs w:val="28"/>
        </w:rPr>
      </w:pPr>
    </w:p>
    <w:p w:rsidR="00D259DB" w:rsidRDefault="00D259DB" w:rsidP="00D259DB">
      <w:pPr>
        <w:jc w:val="center"/>
        <w:rPr>
          <w:rFonts w:ascii="Arial" w:hAnsi="Arial" w:cs="Arial"/>
          <w:sz w:val="20"/>
          <w:szCs w:val="20"/>
          <w:lang w:val="en"/>
        </w:rPr>
      </w:pPr>
    </w:p>
    <w:p w:rsidR="00D259DB" w:rsidRDefault="00D259DB" w:rsidP="00D259DB">
      <w:pPr>
        <w:jc w:val="center"/>
        <w:rPr>
          <w:rFonts w:ascii="Calibri" w:hAnsi="Calibri" w:cs="Calibri"/>
          <w:noProof/>
          <w:sz w:val="20"/>
          <w:szCs w:val="20"/>
          <w:lang w:val="en"/>
        </w:rPr>
      </w:pPr>
    </w:p>
    <w:p w:rsidR="00D259DB" w:rsidRDefault="00D259DB">
      <w:pPr>
        <w:rPr>
          <w:b/>
          <w:sz w:val="32"/>
          <w:szCs w:val="32"/>
          <w:u w:val="single"/>
        </w:rPr>
      </w:pPr>
      <w:r>
        <w:rPr>
          <w:b/>
          <w:sz w:val="32"/>
          <w:szCs w:val="32"/>
          <w:u w:val="single"/>
        </w:rPr>
        <w:br w:type="page"/>
      </w:r>
    </w:p>
    <w:p w:rsidR="002D7785" w:rsidRPr="00785CC9" w:rsidRDefault="002D7785" w:rsidP="00716EA7">
      <w:pPr>
        <w:tabs>
          <w:tab w:val="left" w:pos="1800"/>
        </w:tabs>
        <w:jc w:val="center"/>
        <w:rPr>
          <w:b/>
          <w:sz w:val="32"/>
          <w:szCs w:val="32"/>
          <w:u w:val="single"/>
        </w:rPr>
      </w:pPr>
      <w:r w:rsidRPr="00785CC9">
        <w:rPr>
          <w:b/>
          <w:sz w:val="32"/>
          <w:szCs w:val="32"/>
          <w:u w:val="single"/>
        </w:rPr>
        <w:lastRenderedPageBreak/>
        <w:t>Introduction</w:t>
      </w:r>
    </w:p>
    <w:p w:rsidR="00410BB5" w:rsidRPr="00785CC9" w:rsidRDefault="00410BB5" w:rsidP="00A153E3">
      <w:pPr>
        <w:tabs>
          <w:tab w:val="left" w:pos="1800"/>
        </w:tabs>
        <w:rPr>
          <w:sz w:val="28"/>
          <w:szCs w:val="28"/>
        </w:rPr>
      </w:pPr>
      <w:r w:rsidRPr="00785CC9">
        <w:rPr>
          <w:sz w:val="28"/>
          <w:szCs w:val="28"/>
        </w:rPr>
        <w:t xml:space="preserve">The Board of Governors are required to determine and keep under review a charges and remissions policy in respect of the charges it proposes to make for any optional extras of board and lodging. </w:t>
      </w:r>
      <w:r w:rsidRPr="00785CC9">
        <w:rPr>
          <w:sz w:val="28"/>
          <w:szCs w:val="28"/>
          <w:u w:val="single"/>
        </w:rPr>
        <w:t>Article 131 Para 1 Educational Reform (NI) Order 1989.</w:t>
      </w:r>
    </w:p>
    <w:p w:rsidR="00DD147A" w:rsidRPr="00785CC9" w:rsidRDefault="00D259DB" w:rsidP="00A153E3">
      <w:pPr>
        <w:tabs>
          <w:tab w:val="left" w:pos="1800"/>
        </w:tabs>
        <w:rPr>
          <w:sz w:val="28"/>
          <w:szCs w:val="28"/>
        </w:rPr>
      </w:pPr>
      <w:r>
        <w:rPr>
          <w:sz w:val="28"/>
          <w:szCs w:val="28"/>
        </w:rPr>
        <w:t>Any optional extra</w:t>
      </w:r>
      <w:r w:rsidR="009E5021" w:rsidRPr="00785CC9">
        <w:rPr>
          <w:sz w:val="28"/>
          <w:szCs w:val="28"/>
        </w:rPr>
        <w:t xml:space="preserve"> which is provided by </w:t>
      </w:r>
      <w:r>
        <w:rPr>
          <w:sz w:val="28"/>
          <w:szCs w:val="28"/>
        </w:rPr>
        <w:t xml:space="preserve">the </w:t>
      </w:r>
      <w:r w:rsidR="00DD147A" w:rsidRPr="00785CC9">
        <w:rPr>
          <w:sz w:val="28"/>
          <w:szCs w:val="28"/>
        </w:rPr>
        <w:t xml:space="preserve">Board of Governors </w:t>
      </w:r>
      <w:r>
        <w:rPr>
          <w:sz w:val="28"/>
          <w:szCs w:val="28"/>
        </w:rPr>
        <w:t xml:space="preserve">, </w:t>
      </w:r>
      <w:r w:rsidR="00DD147A" w:rsidRPr="00785CC9">
        <w:rPr>
          <w:sz w:val="28"/>
          <w:szCs w:val="28"/>
        </w:rPr>
        <w:t>wholly or mainly outside school hours</w:t>
      </w:r>
      <w:r>
        <w:rPr>
          <w:sz w:val="28"/>
          <w:szCs w:val="28"/>
        </w:rPr>
        <w:t>,</w:t>
      </w:r>
      <w:r w:rsidR="00DD147A" w:rsidRPr="00785CC9">
        <w:rPr>
          <w:sz w:val="28"/>
          <w:szCs w:val="28"/>
        </w:rPr>
        <w:t xml:space="preserve"> and which is not specifically required to meet the Board of Governors</w:t>
      </w:r>
      <w:r>
        <w:rPr>
          <w:sz w:val="28"/>
          <w:szCs w:val="28"/>
        </w:rPr>
        <w:t>’</w:t>
      </w:r>
      <w:r w:rsidR="00DD147A" w:rsidRPr="00785CC9">
        <w:rPr>
          <w:sz w:val="28"/>
          <w:szCs w:val="28"/>
        </w:rPr>
        <w:t xml:space="preserve"> statutory duty to deliver Religious Education or to deliver any component of the Northern Ireland Curriculum, or</w:t>
      </w:r>
      <w:r>
        <w:rPr>
          <w:sz w:val="28"/>
          <w:szCs w:val="28"/>
        </w:rPr>
        <w:t xml:space="preserve"> an approved public examination, will require a parental contribution. </w:t>
      </w:r>
      <w:r w:rsidR="00DD147A" w:rsidRPr="00785CC9">
        <w:rPr>
          <w:sz w:val="28"/>
          <w:szCs w:val="28"/>
        </w:rPr>
        <w:t xml:space="preserve"> </w:t>
      </w:r>
      <w:r>
        <w:rPr>
          <w:sz w:val="28"/>
          <w:szCs w:val="28"/>
        </w:rPr>
        <w:t>Although, t</w:t>
      </w:r>
      <w:r w:rsidR="00DD147A" w:rsidRPr="00785CC9">
        <w:rPr>
          <w:sz w:val="28"/>
          <w:szCs w:val="28"/>
        </w:rPr>
        <w:t xml:space="preserve">here is no obligation to provide </w:t>
      </w:r>
      <w:r>
        <w:rPr>
          <w:sz w:val="28"/>
          <w:szCs w:val="28"/>
        </w:rPr>
        <w:t xml:space="preserve">such </w:t>
      </w:r>
      <w:r w:rsidR="00DD147A" w:rsidRPr="00785CC9">
        <w:rPr>
          <w:sz w:val="28"/>
          <w:szCs w:val="28"/>
        </w:rPr>
        <w:t xml:space="preserve">optional extras. </w:t>
      </w:r>
      <w:r>
        <w:rPr>
          <w:sz w:val="28"/>
          <w:szCs w:val="28"/>
        </w:rPr>
        <w:t>W</w:t>
      </w:r>
      <w:r w:rsidR="00DD147A" w:rsidRPr="00785CC9">
        <w:rPr>
          <w:sz w:val="28"/>
          <w:szCs w:val="28"/>
        </w:rPr>
        <w:t xml:space="preserve">here the Board of Governors has decided to provide an optional extra the charge on the parents/carers of participating pupils will be based on the full per capita cost. </w:t>
      </w:r>
    </w:p>
    <w:p w:rsidR="002D7785" w:rsidRPr="00785CC9" w:rsidRDefault="002D7785" w:rsidP="002D7785">
      <w:pPr>
        <w:spacing w:after="0" w:line="240" w:lineRule="auto"/>
        <w:jc w:val="both"/>
        <w:rPr>
          <w:rFonts w:eastAsia="Times New Roman" w:cs="Arial"/>
          <w:sz w:val="28"/>
          <w:szCs w:val="28"/>
          <w:lang w:eastAsia="en-GB"/>
        </w:rPr>
      </w:pPr>
      <w:r w:rsidRPr="00785CC9">
        <w:rPr>
          <w:rFonts w:eastAsia="Times New Roman" w:cs="Arial"/>
          <w:sz w:val="28"/>
          <w:szCs w:val="28"/>
          <w:lang w:eastAsia="en-GB"/>
        </w:rPr>
        <w:t xml:space="preserve">At </w:t>
      </w:r>
      <w:r w:rsidR="00785CC9">
        <w:rPr>
          <w:rFonts w:eastAsia="Times New Roman" w:cs="Arial"/>
          <w:sz w:val="28"/>
          <w:szCs w:val="28"/>
          <w:lang w:eastAsia="en-GB"/>
        </w:rPr>
        <w:t>Upper Ballyboley</w:t>
      </w:r>
      <w:r w:rsidRPr="00785CC9">
        <w:rPr>
          <w:rFonts w:eastAsia="Times New Roman" w:cs="Arial"/>
          <w:sz w:val="28"/>
          <w:szCs w:val="28"/>
          <w:lang w:eastAsia="en-GB"/>
        </w:rPr>
        <w:t xml:space="preserve"> Primary School we do our best to keep costs for parents to a minimum. Every effort is made to utilise the school budget, P.T.A. funds and grant-schemes to supplement costs we might otherwise be forced to pass on to parents in order to provide services for our pupils that are above and beyond the minimum requirements of the N.I. Curriculum.</w:t>
      </w:r>
    </w:p>
    <w:p w:rsidR="002D7785" w:rsidRPr="00785CC9" w:rsidRDefault="002D7785" w:rsidP="002D7785">
      <w:pPr>
        <w:spacing w:after="0" w:line="240" w:lineRule="auto"/>
        <w:jc w:val="both"/>
        <w:rPr>
          <w:rFonts w:eastAsia="Times New Roman" w:cs="Arial"/>
          <w:sz w:val="28"/>
          <w:szCs w:val="28"/>
          <w:lang w:eastAsia="en-GB"/>
        </w:rPr>
      </w:pPr>
    </w:p>
    <w:p w:rsidR="002D7785" w:rsidRPr="00785CC9" w:rsidRDefault="002D7785" w:rsidP="002D7785">
      <w:pPr>
        <w:spacing w:after="0" w:line="240" w:lineRule="auto"/>
        <w:jc w:val="both"/>
        <w:rPr>
          <w:rFonts w:eastAsia="Times New Roman" w:cs="Arial"/>
          <w:sz w:val="24"/>
          <w:szCs w:val="24"/>
          <w:lang w:eastAsia="en-GB"/>
        </w:rPr>
      </w:pPr>
      <w:r w:rsidRPr="00785CC9">
        <w:rPr>
          <w:rFonts w:eastAsia="Times New Roman" w:cs="Arial"/>
          <w:sz w:val="28"/>
          <w:szCs w:val="28"/>
          <w:lang w:eastAsia="en-GB"/>
        </w:rPr>
        <w:t xml:space="preserve">With cut-backs enforced upon schools (2011 onwards) we now, more than ever, find ourselves in a position where we must ask parents to supplement luxuries such as Extra-Curricular Clubs and </w:t>
      </w:r>
      <w:r w:rsidR="00785CC9">
        <w:rPr>
          <w:rFonts w:eastAsia="Times New Roman" w:cs="Arial"/>
          <w:sz w:val="28"/>
          <w:szCs w:val="28"/>
          <w:lang w:eastAsia="en-GB"/>
        </w:rPr>
        <w:t>educational visit</w:t>
      </w:r>
      <w:r w:rsidRPr="00785CC9">
        <w:rPr>
          <w:rFonts w:eastAsia="Times New Roman" w:cs="Arial"/>
          <w:sz w:val="28"/>
          <w:szCs w:val="28"/>
          <w:lang w:eastAsia="en-GB"/>
        </w:rPr>
        <w:t>s</w:t>
      </w:r>
      <w:r w:rsidRPr="00785CC9">
        <w:rPr>
          <w:rFonts w:eastAsia="Times New Roman" w:cs="Arial"/>
          <w:sz w:val="24"/>
          <w:szCs w:val="24"/>
          <w:lang w:eastAsia="en-GB"/>
        </w:rPr>
        <w:t>.</w:t>
      </w:r>
    </w:p>
    <w:p w:rsidR="002D7785" w:rsidRPr="00785CC9" w:rsidRDefault="002D7785" w:rsidP="00716EA7">
      <w:pPr>
        <w:spacing w:after="0" w:line="240" w:lineRule="auto"/>
        <w:jc w:val="center"/>
        <w:rPr>
          <w:rFonts w:eastAsia="Times New Roman" w:cs="Arial"/>
          <w:sz w:val="24"/>
          <w:szCs w:val="24"/>
          <w:lang w:eastAsia="en-GB"/>
        </w:rPr>
      </w:pPr>
    </w:p>
    <w:p w:rsidR="00716EA7" w:rsidRPr="00785CC9" w:rsidRDefault="00716EA7" w:rsidP="00716EA7">
      <w:pPr>
        <w:spacing w:after="0" w:line="240" w:lineRule="auto"/>
        <w:jc w:val="center"/>
        <w:rPr>
          <w:rFonts w:eastAsia="Times New Roman" w:cs="Arial"/>
          <w:b/>
          <w:sz w:val="28"/>
          <w:szCs w:val="28"/>
          <w:u w:val="single"/>
          <w:lang w:eastAsia="en-GB"/>
        </w:rPr>
      </w:pPr>
      <w:r w:rsidRPr="00785CC9">
        <w:rPr>
          <w:rFonts w:eastAsia="Times New Roman" w:cs="Arial"/>
          <w:b/>
          <w:sz w:val="28"/>
          <w:szCs w:val="28"/>
          <w:u w:val="single"/>
          <w:lang w:eastAsia="en-GB"/>
        </w:rPr>
        <w:t xml:space="preserve">Main Points </w:t>
      </w:r>
    </w:p>
    <w:p w:rsidR="002D7785" w:rsidRPr="00785CC9" w:rsidRDefault="002D7785" w:rsidP="002D7785">
      <w:pPr>
        <w:spacing w:after="0" w:line="240" w:lineRule="auto"/>
        <w:jc w:val="both"/>
        <w:rPr>
          <w:rFonts w:eastAsia="Times New Roman" w:cs="Arial"/>
          <w:sz w:val="24"/>
          <w:szCs w:val="24"/>
          <w:lang w:eastAsia="en-GB"/>
        </w:rPr>
      </w:pPr>
    </w:p>
    <w:p w:rsidR="002D7785" w:rsidRPr="00785CC9" w:rsidRDefault="002D7785" w:rsidP="002D7785">
      <w:pPr>
        <w:spacing w:after="0" w:line="240" w:lineRule="auto"/>
        <w:jc w:val="both"/>
        <w:rPr>
          <w:rFonts w:eastAsia="Times New Roman" w:cs="Arial"/>
          <w:sz w:val="28"/>
          <w:szCs w:val="28"/>
          <w:lang w:eastAsia="en-GB"/>
        </w:rPr>
      </w:pPr>
      <w:r w:rsidRPr="00785CC9">
        <w:rPr>
          <w:rFonts w:eastAsia="Times New Roman" w:cs="Arial"/>
          <w:sz w:val="28"/>
          <w:szCs w:val="28"/>
          <w:lang w:eastAsia="en-GB"/>
        </w:rPr>
        <w:t>It is not proper practice to request payment from parents for activities that form a necessary part of the mainstream curriculum, nor is it fair. So to that end we will:</w:t>
      </w:r>
    </w:p>
    <w:p w:rsidR="002D7785" w:rsidRPr="00785CC9" w:rsidRDefault="002D7785" w:rsidP="002D7785">
      <w:pPr>
        <w:spacing w:after="0" w:line="240" w:lineRule="auto"/>
        <w:jc w:val="both"/>
        <w:rPr>
          <w:rFonts w:eastAsia="Times New Roman" w:cs="Arial"/>
          <w:sz w:val="28"/>
          <w:szCs w:val="28"/>
          <w:lang w:eastAsia="en-GB"/>
        </w:rPr>
      </w:pPr>
    </w:p>
    <w:p w:rsidR="002D7785" w:rsidRPr="00785CC9" w:rsidRDefault="002D7785" w:rsidP="002D7785">
      <w:pPr>
        <w:numPr>
          <w:ilvl w:val="0"/>
          <w:numId w:val="1"/>
        </w:numPr>
        <w:spacing w:after="0" w:line="240" w:lineRule="auto"/>
        <w:rPr>
          <w:rFonts w:eastAsia="Times New Roman" w:cs="Arial"/>
          <w:color w:val="3366FF"/>
          <w:sz w:val="28"/>
          <w:szCs w:val="28"/>
          <w:lang w:eastAsia="en-GB"/>
        </w:rPr>
      </w:pPr>
      <w:r w:rsidRPr="00785CC9">
        <w:rPr>
          <w:rFonts w:eastAsia="Times New Roman" w:cs="Arial"/>
          <w:sz w:val="28"/>
          <w:szCs w:val="28"/>
          <w:lang w:eastAsia="en-GB"/>
        </w:rPr>
        <w:t xml:space="preserve">Only operate a ‘paid’ activity during </w:t>
      </w:r>
      <w:r w:rsidR="00785CC9">
        <w:rPr>
          <w:rFonts w:eastAsia="Times New Roman" w:cs="Arial"/>
          <w:sz w:val="28"/>
          <w:szCs w:val="28"/>
          <w:lang w:eastAsia="en-GB"/>
        </w:rPr>
        <w:t>regular school hours (such as an educational visit</w:t>
      </w:r>
      <w:r w:rsidRPr="00785CC9">
        <w:rPr>
          <w:rFonts w:eastAsia="Times New Roman" w:cs="Arial"/>
          <w:sz w:val="28"/>
          <w:szCs w:val="28"/>
          <w:lang w:eastAsia="en-GB"/>
        </w:rPr>
        <w:t xml:space="preserve"> or sports activity) when a sizeable majority of parents are willing to fund it.</w:t>
      </w:r>
    </w:p>
    <w:p w:rsidR="002D7785" w:rsidRPr="00785CC9" w:rsidRDefault="002D7785" w:rsidP="002D7785">
      <w:pPr>
        <w:spacing w:after="0" w:line="240" w:lineRule="auto"/>
        <w:ind w:left="360"/>
        <w:rPr>
          <w:rFonts w:eastAsia="Times New Roman" w:cs="Arial"/>
          <w:color w:val="3366FF"/>
          <w:sz w:val="28"/>
          <w:szCs w:val="28"/>
          <w:lang w:eastAsia="en-GB"/>
        </w:rPr>
      </w:pPr>
    </w:p>
    <w:p w:rsidR="002D7785" w:rsidRPr="00785CC9" w:rsidRDefault="002D7785" w:rsidP="002D7785">
      <w:pPr>
        <w:numPr>
          <w:ilvl w:val="0"/>
          <w:numId w:val="1"/>
        </w:numPr>
        <w:spacing w:after="0" w:line="240" w:lineRule="auto"/>
        <w:rPr>
          <w:rFonts w:eastAsia="Times New Roman" w:cs="Arial"/>
          <w:color w:val="3366FF"/>
          <w:sz w:val="28"/>
          <w:szCs w:val="28"/>
          <w:lang w:eastAsia="en-GB"/>
        </w:rPr>
      </w:pPr>
      <w:r w:rsidRPr="00785CC9">
        <w:rPr>
          <w:rFonts w:eastAsia="Times New Roman" w:cs="Arial"/>
          <w:sz w:val="28"/>
          <w:szCs w:val="28"/>
          <w:lang w:eastAsia="en-GB"/>
        </w:rPr>
        <w:t xml:space="preserve">Organise any additional ‘paid’ </w:t>
      </w:r>
      <w:r w:rsidR="00785CC9">
        <w:rPr>
          <w:rFonts w:eastAsia="Times New Roman" w:cs="Arial"/>
          <w:sz w:val="28"/>
          <w:szCs w:val="28"/>
          <w:lang w:eastAsia="en-GB"/>
        </w:rPr>
        <w:t>educational visit</w:t>
      </w:r>
      <w:r w:rsidRPr="00785CC9">
        <w:rPr>
          <w:rFonts w:eastAsia="Times New Roman" w:cs="Arial"/>
          <w:sz w:val="28"/>
          <w:szCs w:val="28"/>
          <w:lang w:eastAsia="en-GB"/>
        </w:rPr>
        <w:t>s/activities with suitable notice in advance to allow maximum number of children to attend.</w:t>
      </w:r>
    </w:p>
    <w:p w:rsidR="002D7785" w:rsidRPr="00785CC9" w:rsidRDefault="002D7785" w:rsidP="002D7785">
      <w:pPr>
        <w:spacing w:after="0" w:line="240" w:lineRule="auto"/>
        <w:rPr>
          <w:rFonts w:eastAsia="Times New Roman" w:cs="Arial"/>
          <w:color w:val="3366FF"/>
          <w:sz w:val="28"/>
          <w:szCs w:val="28"/>
          <w:lang w:eastAsia="en-GB"/>
        </w:rPr>
      </w:pPr>
    </w:p>
    <w:p w:rsidR="002D7785" w:rsidRPr="00785CC9" w:rsidRDefault="002D7785" w:rsidP="002D7785">
      <w:pPr>
        <w:numPr>
          <w:ilvl w:val="0"/>
          <w:numId w:val="1"/>
        </w:numPr>
        <w:spacing w:after="0" w:line="240" w:lineRule="auto"/>
        <w:rPr>
          <w:rFonts w:eastAsia="Times New Roman" w:cs="Arial"/>
          <w:color w:val="3366FF"/>
          <w:sz w:val="28"/>
          <w:szCs w:val="28"/>
          <w:lang w:eastAsia="en-GB"/>
        </w:rPr>
      </w:pPr>
      <w:r w:rsidRPr="00785CC9">
        <w:rPr>
          <w:rFonts w:eastAsia="Times New Roman" w:cs="Arial"/>
          <w:sz w:val="28"/>
          <w:szCs w:val="28"/>
          <w:lang w:eastAsia="en-GB"/>
        </w:rPr>
        <w:lastRenderedPageBreak/>
        <w:t xml:space="preserve">Where a large expense is necessary (such as residential </w:t>
      </w:r>
      <w:r w:rsidR="00785CC9">
        <w:rPr>
          <w:rFonts w:eastAsia="Times New Roman" w:cs="Arial"/>
          <w:sz w:val="28"/>
          <w:szCs w:val="28"/>
          <w:lang w:eastAsia="en-GB"/>
        </w:rPr>
        <w:t>educational visit</w:t>
      </w:r>
      <w:r w:rsidRPr="00785CC9">
        <w:rPr>
          <w:rFonts w:eastAsia="Times New Roman" w:cs="Arial"/>
          <w:sz w:val="28"/>
          <w:szCs w:val="28"/>
          <w:lang w:eastAsia="en-GB"/>
        </w:rPr>
        <w:t xml:space="preserve">s) we will endeavour to accommodate payment in instalments. All families will be required to pay the full amount for any </w:t>
      </w:r>
      <w:r w:rsidR="00785CC9">
        <w:rPr>
          <w:rFonts w:eastAsia="Times New Roman" w:cs="Arial"/>
          <w:sz w:val="28"/>
          <w:szCs w:val="28"/>
          <w:lang w:eastAsia="en-GB"/>
        </w:rPr>
        <w:t>educational visit</w:t>
      </w:r>
      <w:r w:rsidRPr="00785CC9">
        <w:rPr>
          <w:rFonts w:eastAsia="Times New Roman" w:cs="Arial"/>
          <w:sz w:val="28"/>
          <w:szCs w:val="28"/>
          <w:lang w:eastAsia="en-GB"/>
        </w:rPr>
        <w:t>s.</w:t>
      </w:r>
    </w:p>
    <w:p w:rsidR="002D7785" w:rsidRPr="00785CC9" w:rsidRDefault="002D7785" w:rsidP="002D7785">
      <w:pPr>
        <w:spacing w:after="0" w:line="240" w:lineRule="auto"/>
        <w:rPr>
          <w:rFonts w:eastAsia="Times New Roman" w:cs="Arial"/>
          <w:color w:val="3366FF"/>
          <w:sz w:val="28"/>
          <w:szCs w:val="28"/>
          <w:lang w:eastAsia="en-GB"/>
        </w:rPr>
      </w:pPr>
    </w:p>
    <w:p w:rsidR="002D7785" w:rsidRPr="00785CC9" w:rsidRDefault="002D7785" w:rsidP="002D7785">
      <w:pPr>
        <w:numPr>
          <w:ilvl w:val="0"/>
          <w:numId w:val="1"/>
        </w:numPr>
        <w:spacing w:after="0" w:line="240" w:lineRule="auto"/>
        <w:rPr>
          <w:rFonts w:eastAsia="Times New Roman" w:cs="Arial"/>
          <w:color w:val="3366FF"/>
          <w:sz w:val="28"/>
          <w:szCs w:val="28"/>
          <w:lang w:eastAsia="en-GB"/>
        </w:rPr>
      </w:pPr>
      <w:r w:rsidRPr="00785CC9">
        <w:rPr>
          <w:rFonts w:eastAsia="Times New Roman" w:cs="Arial"/>
          <w:sz w:val="28"/>
          <w:szCs w:val="28"/>
          <w:lang w:eastAsia="en-GB"/>
        </w:rPr>
        <w:t>When running a ‘paid’ ac</w:t>
      </w:r>
      <w:r w:rsidR="00785CC9">
        <w:rPr>
          <w:rFonts w:eastAsia="Times New Roman" w:cs="Arial"/>
          <w:sz w:val="28"/>
          <w:szCs w:val="28"/>
          <w:lang w:eastAsia="en-GB"/>
        </w:rPr>
        <w:t xml:space="preserve">tivity parents will be asked for a </w:t>
      </w:r>
      <w:r w:rsidRPr="00785CC9">
        <w:rPr>
          <w:rFonts w:eastAsia="Times New Roman" w:cs="Arial"/>
          <w:sz w:val="28"/>
          <w:szCs w:val="28"/>
          <w:lang w:eastAsia="en-GB"/>
        </w:rPr>
        <w:t xml:space="preserve">‘Voluntary </w:t>
      </w:r>
      <w:r w:rsidR="00785CC9">
        <w:rPr>
          <w:rFonts w:eastAsia="Times New Roman" w:cs="Arial"/>
          <w:sz w:val="28"/>
          <w:szCs w:val="28"/>
          <w:lang w:eastAsia="en-GB"/>
        </w:rPr>
        <w:t>Contribution</w:t>
      </w:r>
      <w:r w:rsidRPr="00785CC9">
        <w:rPr>
          <w:rFonts w:eastAsia="Times New Roman" w:cs="Arial"/>
          <w:sz w:val="28"/>
          <w:szCs w:val="28"/>
          <w:lang w:eastAsia="en-GB"/>
        </w:rPr>
        <w:t>’.</w:t>
      </w:r>
    </w:p>
    <w:p w:rsidR="002D7785" w:rsidRPr="00785CC9" w:rsidRDefault="002D7785" w:rsidP="002D7785">
      <w:pPr>
        <w:spacing w:after="0" w:line="240" w:lineRule="auto"/>
        <w:rPr>
          <w:rFonts w:eastAsia="Times New Roman" w:cs="Arial"/>
          <w:color w:val="3366FF"/>
          <w:sz w:val="28"/>
          <w:szCs w:val="28"/>
          <w:lang w:eastAsia="en-GB"/>
        </w:rPr>
      </w:pPr>
    </w:p>
    <w:p w:rsidR="002D7785" w:rsidRPr="00785CC9" w:rsidRDefault="002D7785" w:rsidP="002D7785">
      <w:pPr>
        <w:numPr>
          <w:ilvl w:val="0"/>
          <w:numId w:val="1"/>
        </w:numPr>
        <w:spacing w:after="0" w:line="240" w:lineRule="auto"/>
        <w:rPr>
          <w:rFonts w:eastAsia="Times New Roman" w:cs="Arial"/>
          <w:color w:val="3366FF"/>
          <w:sz w:val="28"/>
          <w:szCs w:val="28"/>
          <w:lang w:eastAsia="en-GB"/>
        </w:rPr>
      </w:pPr>
      <w:r w:rsidRPr="00785CC9">
        <w:rPr>
          <w:rFonts w:eastAsia="Times New Roman" w:cs="Arial"/>
          <w:sz w:val="28"/>
          <w:szCs w:val="28"/>
          <w:lang w:eastAsia="en-GB"/>
        </w:rPr>
        <w:t xml:space="preserve">Provide an alternative educational activity for pupils whose families have elected not to </w:t>
      </w:r>
      <w:r w:rsidR="00785CC9">
        <w:rPr>
          <w:rFonts w:eastAsia="Times New Roman" w:cs="Arial"/>
          <w:sz w:val="28"/>
          <w:szCs w:val="28"/>
          <w:lang w:eastAsia="en-GB"/>
        </w:rPr>
        <w:t>give a voluntary contribution</w:t>
      </w:r>
      <w:r w:rsidRPr="00785CC9">
        <w:rPr>
          <w:rFonts w:eastAsia="Times New Roman" w:cs="Arial"/>
          <w:sz w:val="28"/>
          <w:szCs w:val="28"/>
          <w:lang w:eastAsia="en-GB"/>
        </w:rPr>
        <w:t xml:space="preserve"> when a size</w:t>
      </w:r>
      <w:r w:rsidR="00785CC9">
        <w:rPr>
          <w:rFonts w:eastAsia="Times New Roman" w:cs="Arial"/>
          <w:sz w:val="28"/>
          <w:szCs w:val="28"/>
          <w:lang w:eastAsia="en-GB"/>
        </w:rPr>
        <w:t xml:space="preserve">able majority are willing and the school is unable to supplement the cost. </w:t>
      </w:r>
    </w:p>
    <w:p w:rsidR="002D7785" w:rsidRPr="00785CC9" w:rsidRDefault="002D7785" w:rsidP="002D7785">
      <w:pPr>
        <w:spacing w:after="0" w:line="240" w:lineRule="auto"/>
        <w:rPr>
          <w:rFonts w:eastAsia="Times New Roman" w:cs="Arial"/>
          <w:color w:val="3366FF"/>
          <w:sz w:val="28"/>
          <w:szCs w:val="28"/>
          <w:lang w:eastAsia="en-GB"/>
        </w:rPr>
      </w:pPr>
    </w:p>
    <w:p w:rsidR="002D7785" w:rsidRPr="00785CC9" w:rsidRDefault="002D7785" w:rsidP="002D7785">
      <w:pPr>
        <w:numPr>
          <w:ilvl w:val="0"/>
          <w:numId w:val="1"/>
        </w:numPr>
        <w:spacing w:after="0" w:line="240" w:lineRule="auto"/>
        <w:rPr>
          <w:rFonts w:eastAsia="Times New Roman" w:cs="Arial"/>
          <w:color w:val="3366FF"/>
          <w:sz w:val="28"/>
          <w:szCs w:val="28"/>
          <w:lang w:eastAsia="en-GB"/>
        </w:rPr>
      </w:pPr>
      <w:r w:rsidRPr="00785CC9">
        <w:rPr>
          <w:rFonts w:eastAsia="Times New Roman" w:cs="Arial"/>
          <w:sz w:val="28"/>
          <w:szCs w:val="28"/>
          <w:lang w:eastAsia="en-GB"/>
        </w:rPr>
        <w:t>Require a fee for the rental of school-owned musical instruments comparative with the NEELB annual fee.</w:t>
      </w:r>
    </w:p>
    <w:p w:rsidR="00435585" w:rsidRPr="00785CC9" w:rsidRDefault="00435585" w:rsidP="00435585">
      <w:pPr>
        <w:pStyle w:val="ListParagraph"/>
        <w:rPr>
          <w:rFonts w:eastAsia="Times New Roman" w:cs="Arial"/>
          <w:color w:val="3366FF"/>
          <w:sz w:val="28"/>
          <w:szCs w:val="28"/>
          <w:lang w:eastAsia="en-GB"/>
        </w:rPr>
      </w:pPr>
    </w:p>
    <w:p w:rsidR="00435585" w:rsidRPr="00785CC9" w:rsidRDefault="00435585" w:rsidP="00435585">
      <w:pPr>
        <w:spacing w:after="0" w:line="240" w:lineRule="auto"/>
        <w:ind w:left="720"/>
        <w:jc w:val="center"/>
        <w:rPr>
          <w:rFonts w:eastAsia="Times New Roman" w:cs="Arial"/>
          <w:b/>
          <w:color w:val="0D0D0D" w:themeColor="text1" w:themeTint="F2"/>
          <w:sz w:val="28"/>
          <w:szCs w:val="28"/>
          <w:u w:val="single"/>
          <w:lang w:eastAsia="en-GB"/>
        </w:rPr>
      </w:pPr>
      <w:r w:rsidRPr="00785CC9">
        <w:rPr>
          <w:rFonts w:eastAsia="Times New Roman" w:cs="Arial"/>
          <w:b/>
          <w:color w:val="0D0D0D" w:themeColor="text1" w:themeTint="F2"/>
          <w:sz w:val="28"/>
          <w:szCs w:val="28"/>
          <w:u w:val="single"/>
          <w:lang w:eastAsia="en-GB"/>
        </w:rPr>
        <w:t xml:space="preserve">Optional Extras </w:t>
      </w:r>
    </w:p>
    <w:p w:rsidR="00B23E7E" w:rsidRDefault="00B23E7E" w:rsidP="00716EA7">
      <w:pPr>
        <w:spacing w:after="0" w:line="240" w:lineRule="auto"/>
        <w:ind w:left="720"/>
        <w:jc w:val="center"/>
        <w:rPr>
          <w:rFonts w:eastAsia="Times New Roman" w:cs="Arial"/>
          <w:b/>
          <w:color w:val="0D0D0D" w:themeColor="text1" w:themeTint="F2"/>
          <w:sz w:val="28"/>
          <w:szCs w:val="28"/>
          <w:u w:val="single"/>
          <w:lang w:eastAsia="en-GB"/>
        </w:rPr>
      </w:pPr>
    </w:p>
    <w:p w:rsidR="00716EA7" w:rsidRPr="00785CC9" w:rsidRDefault="00716EA7" w:rsidP="00716EA7">
      <w:pPr>
        <w:spacing w:after="0" w:line="240" w:lineRule="auto"/>
        <w:ind w:left="720"/>
        <w:jc w:val="center"/>
        <w:rPr>
          <w:rFonts w:eastAsia="Times New Roman" w:cs="Arial"/>
          <w:b/>
          <w:color w:val="0D0D0D" w:themeColor="text1" w:themeTint="F2"/>
          <w:sz w:val="28"/>
          <w:szCs w:val="28"/>
          <w:u w:val="single"/>
          <w:lang w:eastAsia="en-GB"/>
        </w:rPr>
      </w:pPr>
      <w:r w:rsidRPr="00785CC9">
        <w:rPr>
          <w:rFonts w:eastAsia="Times New Roman" w:cs="Arial"/>
          <w:b/>
          <w:color w:val="0D0D0D" w:themeColor="text1" w:themeTint="F2"/>
          <w:sz w:val="28"/>
          <w:szCs w:val="28"/>
          <w:u w:val="single"/>
          <w:lang w:eastAsia="en-GB"/>
        </w:rPr>
        <w:t xml:space="preserve">Instrumental Tuition </w:t>
      </w:r>
    </w:p>
    <w:p w:rsidR="00716EA7" w:rsidRPr="00785CC9" w:rsidRDefault="00716EA7" w:rsidP="00716EA7">
      <w:pPr>
        <w:spacing w:after="0" w:line="240" w:lineRule="auto"/>
        <w:ind w:left="720"/>
        <w:jc w:val="center"/>
        <w:rPr>
          <w:rFonts w:eastAsia="Times New Roman" w:cs="Arial"/>
          <w:color w:val="3366FF"/>
          <w:sz w:val="28"/>
          <w:szCs w:val="28"/>
          <w:lang w:eastAsia="en-GB"/>
        </w:rPr>
      </w:pPr>
      <w:r w:rsidRPr="00785CC9">
        <w:rPr>
          <w:rFonts w:eastAsia="Times New Roman" w:cs="Arial"/>
          <w:color w:val="3366FF"/>
          <w:sz w:val="28"/>
          <w:szCs w:val="28"/>
          <w:lang w:eastAsia="en-GB"/>
        </w:rPr>
        <w:t xml:space="preserve"> </w:t>
      </w:r>
    </w:p>
    <w:p w:rsidR="00716EA7" w:rsidRPr="00785CC9" w:rsidRDefault="00716EA7" w:rsidP="00716EA7">
      <w:pPr>
        <w:spacing w:after="0" w:line="240" w:lineRule="auto"/>
        <w:rPr>
          <w:rFonts w:eastAsia="Times New Roman" w:cs="Arial"/>
          <w:sz w:val="28"/>
          <w:szCs w:val="28"/>
          <w:lang w:eastAsia="en-GB"/>
        </w:rPr>
      </w:pPr>
      <w:r w:rsidRPr="00785CC9">
        <w:rPr>
          <w:rFonts w:eastAsia="Times New Roman" w:cs="Arial"/>
          <w:sz w:val="28"/>
          <w:szCs w:val="28"/>
          <w:lang w:eastAsia="en-GB"/>
        </w:rPr>
        <w:t xml:space="preserve">Instrumental tuition is provided through the Board’s Music Service </w:t>
      </w:r>
      <w:r w:rsidR="00785CC9">
        <w:rPr>
          <w:rFonts w:eastAsia="Times New Roman" w:cs="Arial"/>
          <w:sz w:val="28"/>
          <w:szCs w:val="28"/>
          <w:lang w:eastAsia="en-GB"/>
        </w:rPr>
        <w:t>this is optional and parents will be asked to pay</w:t>
      </w:r>
      <w:r w:rsidR="00B23E7E">
        <w:rPr>
          <w:rFonts w:eastAsia="Times New Roman" w:cs="Arial"/>
          <w:sz w:val="28"/>
          <w:szCs w:val="28"/>
          <w:lang w:eastAsia="en-GB"/>
        </w:rPr>
        <w:t xml:space="preserve"> a </w:t>
      </w:r>
      <w:r w:rsidR="00785CC9">
        <w:rPr>
          <w:rFonts w:eastAsia="Times New Roman" w:cs="Arial"/>
          <w:sz w:val="28"/>
          <w:szCs w:val="28"/>
          <w:lang w:eastAsia="en-GB"/>
        </w:rPr>
        <w:t xml:space="preserve">contribution </w:t>
      </w:r>
      <w:r w:rsidR="00B23E7E">
        <w:rPr>
          <w:rFonts w:eastAsia="Times New Roman" w:cs="Arial"/>
          <w:sz w:val="28"/>
          <w:szCs w:val="28"/>
          <w:lang w:eastAsia="en-GB"/>
        </w:rPr>
        <w:t xml:space="preserve">towards the </w:t>
      </w:r>
      <w:r w:rsidR="00B23E7E" w:rsidRPr="00785CC9">
        <w:rPr>
          <w:rFonts w:eastAsia="Times New Roman" w:cs="Arial"/>
          <w:sz w:val="28"/>
          <w:szCs w:val="28"/>
          <w:lang w:eastAsia="en-GB"/>
        </w:rPr>
        <w:t>Board’s Music Service</w:t>
      </w:r>
      <w:r w:rsidR="00B23E7E">
        <w:rPr>
          <w:rFonts w:eastAsia="Times New Roman" w:cs="Arial"/>
          <w:sz w:val="28"/>
          <w:szCs w:val="28"/>
          <w:lang w:eastAsia="en-GB"/>
        </w:rPr>
        <w:t xml:space="preserve"> charge. The charge is dependent on the number of children receiving lessons.</w:t>
      </w:r>
    </w:p>
    <w:p w:rsidR="00716EA7" w:rsidRPr="00785CC9" w:rsidRDefault="00716EA7" w:rsidP="00716EA7">
      <w:pPr>
        <w:spacing w:after="0" w:line="240" w:lineRule="auto"/>
        <w:rPr>
          <w:rFonts w:eastAsia="Times New Roman" w:cs="Arial"/>
          <w:sz w:val="28"/>
          <w:szCs w:val="28"/>
          <w:lang w:eastAsia="en-GB"/>
        </w:rPr>
      </w:pPr>
    </w:p>
    <w:p w:rsidR="00716EA7" w:rsidRDefault="00716EA7" w:rsidP="00716EA7">
      <w:pPr>
        <w:spacing w:after="0" w:line="240" w:lineRule="auto"/>
        <w:rPr>
          <w:rFonts w:eastAsia="Times New Roman" w:cs="Arial"/>
          <w:sz w:val="28"/>
          <w:szCs w:val="28"/>
          <w:lang w:eastAsia="en-GB"/>
        </w:rPr>
      </w:pPr>
      <w:r w:rsidRPr="00785CC9">
        <w:rPr>
          <w:rFonts w:eastAsia="Times New Roman" w:cs="Arial"/>
          <w:sz w:val="28"/>
          <w:szCs w:val="28"/>
          <w:lang w:eastAsia="en-GB"/>
        </w:rPr>
        <w:t>A charge for the loan of a music-service instrument will be made directly to parents</w:t>
      </w:r>
      <w:r w:rsidR="00B23E7E">
        <w:rPr>
          <w:rFonts w:eastAsia="Times New Roman" w:cs="Arial"/>
          <w:sz w:val="28"/>
          <w:szCs w:val="28"/>
          <w:lang w:eastAsia="en-GB"/>
        </w:rPr>
        <w:t xml:space="preserve"> from the </w:t>
      </w:r>
      <w:r w:rsidR="00B23E7E" w:rsidRPr="00785CC9">
        <w:rPr>
          <w:rFonts w:eastAsia="Times New Roman" w:cs="Arial"/>
          <w:sz w:val="28"/>
          <w:szCs w:val="28"/>
          <w:lang w:eastAsia="en-GB"/>
        </w:rPr>
        <w:t>Board’s Music Service</w:t>
      </w:r>
      <w:r w:rsidRPr="00785CC9">
        <w:rPr>
          <w:rFonts w:eastAsia="Times New Roman" w:cs="Arial"/>
          <w:sz w:val="28"/>
          <w:szCs w:val="28"/>
          <w:lang w:eastAsia="en-GB"/>
        </w:rPr>
        <w:t>. Pupils in receipt of Free School Meals are entitled to full remission.</w:t>
      </w:r>
    </w:p>
    <w:p w:rsidR="00424CD5" w:rsidRDefault="00424CD5" w:rsidP="00716EA7">
      <w:pPr>
        <w:spacing w:after="0" w:line="240" w:lineRule="auto"/>
        <w:rPr>
          <w:rFonts w:eastAsia="Times New Roman" w:cs="Arial"/>
          <w:sz w:val="28"/>
          <w:szCs w:val="28"/>
          <w:lang w:eastAsia="en-GB"/>
        </w:rPr>
      </w:pPr>
    </w:p>
    <w:p w:rsidR="00424CD5" w:rsidRPr="00785CC9" w:rsidRDefault="00424CD5" w:rsidP="00716EA7">
      <w:pPr>
        <w:spacing w:after="0" w:line="240" w:lineRule="auto"/>
        <w:rPr>
          <w:rFonts w:eastAsia="Times New Roman" w:cs="Arial"/>
          <w:sz w:val="28"/>
          <w:szCs w:val="28"/>
          <w:lang w:eastAsia="en-GB"/>
        </w:rPr>
      </w:pPr>
      <w:r>
        <w:rPr>
          <w:rFonts w:eastAsia="Times New Roman" w:cs="Arial"/>
          <w:sz w:val="28"/>
          <w:szCs w:val="28"/>
          <w:lang w:eastAsia="en-GB"/>
        </w:rPr>
        <w:t xml:space="preserve">For hygiene reasons it is expected the children purchase their own Recorder. </w:t>
      </w:r>
    </w:p>
    <w:p w:rsidR="00435585" w:rsidRPr="00785CC9" w:rsidRDefault="00435585" w:rsidP="00716EA7">
      <w:pPr>
        <w:spacing w:after="0" w:line="240" w:lineRule="auto"/>
        <w:rPr>
          <w:rFonts w:eastAsia="Times New Roman" w:cs="Arial"/>
          <w:b/>
          <w:sz w:val="28"/>
          <w:szCs w:val="28"/>
          <w:u w:val="single"/>
          <w:lang w:eastAsia="en-GB"/>
        </w:rPr>
      </w:pPr>
    </w:p>
    <w:p w:rsidR="00435585" w:rsidRPr="00785CC9" w:rsidRDefault="00435585" w:rsidP="00435585">
      <w:pPr>
        <w:spacing w:after="0" w:line="240" w:lineRule="auto"/>
        <w:jc w:val="center"/>
        <w:rPr>
          <w:rFonts w:eastAsia="Times New Roman" w:cs="Arial"/>
          <w:b/>
          <w:sz w:val="28"/>
          <w:szCs w:val="28"/>
          <w:u w:val="single"/>
          <w:lang w:eastAsia="en-GB"/>
        </w:rPr>
      </w:pPr>
      <w:r w:rsidRPr="00785CC9">
        <w:rPr>
          <w:rFonts w:eastAsia="Times New Roman" w:cs="Arial"/>
          <w:b/>
          <w:sz w:val="28"/>
          <w:szCs w:val="28"/>
          <w:u w:val="single"/>
          <w:lang w:eastAsia="en-GB"/>
        </w:rPr>
        <w:t xml:space="preserve">Educational Activities </w:t>
      </w:r>
    </w:p>
    <w:p w:rsidR="00435585" w:rsidRPr="00785CC9" w:rsidRDefault="00435585" w:rsidP="00716EA7">
      <w:pPr>
        <w:spacing w:after="0" w:line="240" w:lineRule="auto"/>
        <w:rPr>
          <w:rFonts w:eastAsia="Times New Roman" w:cs="Arial"/>
          <w:sz w:val="28"/>
          <w:szCs w:val="28"/>
          <w:lang w:eastAsia="en-GB"/>
        </w:rPr>
      </w:pPr>
    </w:p>
    <w:p w:rsidR="00435585" w:rsidRPr="00785CC9" w:rsidRDefault="00435585" w:rsidP="00435585">
      <w:pPr>
        <w:rPr>
          <w:rFonts w:cs="Arial"/>
          <w:sz w:val="28"/>
          <w:szCs w:val="28"/>
        </w:rPr>
      </w:pPr>
      <w:r w:rsidRPr="00785CC9">
        <w:rPr>
          <w:rFonts w:cs="Arial"/>
          <w:sz w:val="28"/>
          <w:szCs w:val="28"/>
        </w:rPr>
        <w:t>Charges will be made in respect of all residential and non-residential activities which take place wholly or more than 50% outside of school hours when the child’s participation has been agreed in advance by the parent(s).</w:t>
      </w:r>
    </w:p>
    <w:p w:rsidR="00435585" w:rsidRPr="00785CC9" w:rsidRDefault="00435585" w:rsidP="00435585">
      <w:pPr>
        <w:rPr>
          <w:rFonts w:cs="Arial"/>
          <w:sz w:val="28"/>
          <w:szCs w:val="28"/>
        </w:rPr>
      </w:pPr>
    </w:p>
    <w:p w:rsidR="00435585" w:rsidRPr="00785CC9" w:rsidRDefault="00435585" w:rsidP="00435585">
      <w:pPr>
        <w:rPr>
          <w:rFonts w:cs="Arial"/>
          <w:sz w:val="28"/>
          <w:szCs w:val="28"/>
        </w:rPr>
      </w:pPr>
      <w:r w:rsidRPr="00785CC9">
        <w:rPr>
          <w:rFonts w:cs="Arial"/>
          <w:sz w:val="28"/>
          <w:szCs w:val="28"/>
        </w:rPr>
        <w:t>The charge will include the cost of travel,  entrance fees, materials, books and equipment and where appropriate board and lodgings. There will be no remission of charges in any circumstances.</w:t>
      </w:r>
    </w:p>
    <w:p w:rsidR="00435585" w:rsidRPr="00785CC9" w:rsidRDefault="00435585" w:rsidP="00435585">
      <w:pPr>
        <w:jc w:val="center"/>
        <w:rPr>
          <w:rFonts w:cs="Arial"/>
          <w:b/>
          <w:sz w:val="28"/>
          <w:szCs w:val="28"/>
          <w:u w:val="single"/>
        </w:rPr>
      </w:pPr>
      <w:r w:rsidRPr="00785CC9">
        <w:rPr>
          <w:rFonts w:cs="Arial"/>
          <w:b/>
          <w:sz w:val="28"/>
          <w:szCs w:val="28"/>
          <w:u w:val="single"/>
        </w:rPr>
        <w:t xml:space="preserve">Board and Lodging </w:t>
      </w:r>
    </w:p>
    <w:p w:rsidR="00435585" w:rsidRPr="00785CC9" w:rsidRDefault="00435585" w:rsidP="00435585">
      <w:pPr>
        <w:rPr>
          <w:rFonts w:cs="Arial"/>
          <w:sz w:val="28"/>
          <w:szCs w:val="28"/>
        </w:rPr>
      </w:pPr>
      <w:r w:rsidRPr="00785CC9">
        <w:rPr>
          <w:rFonts w:cs="Arial"/>
          <w:sz w:val="28"/>
          <w:szCs w:val="28"/>
        </w:rPr>
        <w:t xml:space="preserve">Where a school activity involves pupils spending a night or nights away from home, a charge for board and lodging will be made. Where such a residential </w:t>
      </w:r>
      <w:r w:rsidR="00785CC9">
        <w:rPr>
          <w:rFonts w:cs="Arial"/>
          <w:sz w:val="28"/>
          <w:szCs w:val="28"/>
        </w:rPr>
        <w:t>educational visit</w:t>
      </w:r>
      <w:r w:rsidRPr="00785CC9">
        <w:rPr>
          <w:rFonts w:cs="Arial"/>
          <w:sz w:val="28"/>
          <w:szCs w:val="28"/>
        </w:rPr>
        <w:t xml:space="preserve"> is considered an “Optional Extra”, this charge will not be remitted. </w:t>
      </w:r>
    </w:p>
    <w:p w:rsidR="00435585" w:rsidRPr="00785CC9" w:rsidRDefault="00410BB5" w:rsidP="00435585">
      <w:pPr>
        <w:rPr>
          <w:rFonts w:cs="Arial"/>
          <w:sz w:val="28"/>
          <w:szCs w:val="28"/>
        </w:rPr>
      </w:pPr>
      <w:r w:rsidRPr="00785CC9">
        <w:rPr>
          <w:rFonts w:cs="Arial"/>
          <w:sz w:val="28"/>
          <w:szCs w:val="28"/>
        </w:rPr>
        <w:t xml:space="preserve">Where a residential </w:t>
      </w:r>
      <w:r w:rsidR="00785CC9">
        <w:rPr>
          <w:rFonts w:cs="Arial"/>
          <w:sz w:val="28"/>
          <w:szCs w:val="28"/>
        </w:rPr>
        <w:t>educational visit</w:t>
      </w:r>
      <w:r w:rsidRPr="00785CC9">
        <w:rPr>
          <w:rFonts w:cs="Arial"/>
          <w:sz w:val="28"/>
          <w:szCs w:val="28"/>
        </w:rPr>
        <w:t xml:space="preserve"> is inside school hours or is outside school hours but must be provided free under Article 129 Paragraphs 2 and 4, parents in receipt of Income Support or Family Credit are entitled to have these charges remitted when they declare and give evidence of their circumstances. Such parents may make a voluntary contribution towards the cost of the residential </w:t>
      </w:r>
      <w:r w:rsidR="00785CC9">
        <w:rPr>
          <w:rFonts w:cs="Arial"/>
          <w:sz w:val="28"/>
          <w:szCs w:val="28"/>
        </w:rPr>
        <w:t>educational visit</w:t>
      </w:r>
      <w:r w:rsidRPr="00785CC9">
        <w:rPr>
          <w:rFonts w:cs="Arial"/>
          <w:sz w:val="28"/>
          <w:szCs w:val="28"/>
        </w:rPr>
        <w:t xml:space="preserve">. </w:t>
      </w:r>
    </w:p>
    <w:p w:rsidR="00435585" w:rsidRPr="00785CC9" w:rsidRDefault="00435585" w:rsidP="00410BB5">
      <w:pPr>
        <w:rPr>
          <w:rFonts w:cs="Arial"/>
          <w:b/>
          <w:sz w:val="28"/>
          <w:szCs w:val="28"/>
          <w:u w:val="single"/>
        </w:rPr>
      </w:pPr>
    </w:p>
    <w:p w:rsidR="00435585" w:rsidRPr="00785CC9" w:rsidRDefault="00435585" w:rsidP="00435585">
      <w:pPr>
        <w:jc w:val="center"/>
        <w:rPr>
          <w:rFonts w:cs="Arial"/>
          <w:b/>
          <w:sz w:val="28"/>
          <w:szCs w:val="28"/>
          <w:u w:val="single"/>
        </w:rPr>
      </w:pPr>
    </w:p>
    <w:p w:rsidR="00DD147A" w:rsidRPr="00785CC9" w:rsidRDefault="00DD147A" w:rsidP="00435585">
      <w:pPr>
        <w:jc w:val="center"/>
        <w:rPr>
          <w:rFonts w:cs="Arial"/>
          <w:b/>
          <w:sz w:val="28"/>
          <w:szCs w:val="28"/>
          <w:u w:val="single"/>
        </w:rPr>
      </w:pPr>
    </w:p>
    <w:p w:rsidR="00DD147A" w:rsidRPr="00785CC9" w:rsidRDefault="00DD147A" w:rsidP="00435585">
      <w:pPr>
        <w:jc w:val="center"/>
        <w:rPr>
          <w:rFonts w:cs="Arial"/>
          <w:b/>
          <w:sz w:val="28"/>
          <w:szCs w:val="28"/>
          <w:u w:val="single"/>
        </w:rPr>
      </w:pPr>
    </w:p>
    <w:p w:rsidR="00716EA7" w:rsidRPr="00785CC9" w:rsidRDefault="00716EA7" w:rsidP="00716EA7">
      <w:pPr>
        <w:tabs>
          <w:tab w:val="left" w:pos="993"/>
        </w:tabs>
        <w:spacing w:after="0" w:line="240" w:lineRule="auto"/>
        <w:rPr>
          <w:rFonts w:eastAsia="Times New Roman" w:cs="Times New Roman"/>
          <w:sz w:val="24"/>
          <w:szCs w:val="28"/>
        </w:rPr>
      </w:pPr>
      <w:r w:rsidRPr="00785CC9">
        <w:rPr>
          <w:rFonts w:eastAsia="Times New Roman" w:cs="Times New Roman"/>
          <w:sz w:val="24"/>
          <w:szCs w:val="28"/>
        </w:rPr>
        <w:t xml:space="preserve">Signed: </w:t>
      </w:r>
      <w:r w:rsidRPr="00785CC9">
        <w:rPr>
          <w:rFonts w:eastAsia="Times New Roman" w:cs="Times New Roman"/>
          <w:sz w:val="24"/>
          <w:szCs w:val="28"/>
        </w:rPr>
        <w:tab/>
        <w:t xml:space="preserve">______________________________________ </w:t>
      </w:r>
    </w:p>
    <w:p w:rsidR="00716EA7" w:rsidRPr="00785CC9" w:rsidRDefault="00716EA7" w:rsidP="00716EA7">
      <w:pPr>
        <w:tabs>
          <w:tab w:val="left" w:pos="993"/>
        </w:tabs>
        <w:spacing w:after="0" w:line="240" w:lineRule="auto"/>
        <w:rPr>
          <w:rFonts w:eastAsia="Times New Roman" w:cs="Times New Roman"/>
          <w:sz w:val="24"/>
          <w:szCs w:val="28"/>
        </w:rPr>
      </w:pPr>
      <w:r w:rsidRPr="00785CC9">
        <w:rPr>
          <w:rFonts w:eastAsia="Times New Roman" w:cs="Times New Roman"/>
          <w:sz w:val="24"/>
          <w:szCs w:val="28"/>
        </w:rPr>
        <w:t>(Chairman of Board of Governors)</w:t>
      </w:r>
    </w:p>
    <w:p w:rsidR="00716EA7" w:rsidRPr="00785CC9" w:rsidRDefault="00716EA7" w:rsidP="00716EA7">
      <w:pPr>
        <w:spacing w:after="0" w:line="240" w:lineRule="auto"/>
        <w:rPr>
          <w:rFonts w:eastAsia="Times New Roman" w:cs="Times New Roman"/>
          <w:sz w:val="24"/>
          <w:szCs w:val="28"/>
        </w:rPr>
      </w:pPr>
    </w:p>
    <w:p w:rsidR="00716EA7" w:rsidRPr="00785CC9" w:rsidRDefault="00716EA7" w:rsidP="00716EA7">
      <w:pPr>
        <w:tabs>
          <w:tab w:val="left" w:pos="993"/>
        </w:tabs>
        <w:spacing w:after="0" w:line="240" w:lineRule="auto"/>
        <w:rPr>
          <w:rFonts w:eastAsia="Times New Roman" w:cs="Times New Roman"/>
          <w:sz w:val="24"/>
          <w:szCs w:val="28"/>
        </w:rPr>
      </w:pPr>
      <w:r w:rsidRPr="00785CC9">
        <w:rPr>
          <w:rFonts w:eastAsia="Times New Roman" w:cs="Times New Roman"/>
          <w:sz w:val="24"/>
          <w:szCs w:val="28"/>
        </w:rPr>
        <w:t xml:space="preserve">Signed: </w:t>
      </w:r>
      <w:r w:rsidRPr="00785CC9">
        <w:rPr>
          <w:rFonts w:eastAsia="Times New Roman" w:cs="Times New Roman"/>
          <w:sz w:val="24"/>
          <w:szCs w:val="28"/>
        </w:rPr>
        <w:tab/>
        <w:t xml:space="preserve">______________________________________ </w:t>
      </w:r>
    </w:p>
    <w:p w:rsidR="00716EA7" w:rsidRPr="00785CC9" w:rsidRDefault="00716EA7" w:rsidP="00716EA7">
      <w:pPr>
        <w:tabs>
          <w:tab w:val="left" w:pos="993"/>
        </w:tabs>
        <w:spacing w:after="0" w:line="240" w:lineRule="auto"/>
        <w:rPr>
          <w:rFonts w:eastAsia="Times New Roman" w:cs="Times New Roman"/>
          <w:sz w:val="24"/>
          <w:szCs w:val="28"/>
        </w:rPr>
      </w:pPr>
      <w:r w:rsidRPr="00785CC9">
        <w:rPr>
          <w:rFonts w:eastAsia="Times New Roman" w:cs="Times New Roman"/>
          <w:sz w:val="24"/>
          <w:szCs w:val="28"/>
        </w:rPr>
        <w:t>(Principal)</w:t>
      </w:r>
    </w:p>
    <w:p w:rsidR="00716EA7" w:rsidRPr="00785CC9" w:rsidRDefault="00716EA7" w:rsidP="00716EA7">
      <w:pPr>
        <w:spacing w:after="0" w:line="240" w:lineRule="auto"/>
        <w:rPr>
          <w:rFonts w:eastAsia="Times New Roman" w:cs="Times New Roman"/>
          <w:sz w:val="24"/>
          <w:szCs w:val="28"/>
        </w:rPr>
      </w:pPr>
    </w:p>
    <w:p w:rsidR="00716EA7" w:rsidRPr="00785CC9" w:rsidRDefault="00716EA7" w:rsidP="00716EA7">
      <w:pPr>
        <w:spacing w:after="0" w:line="240" w:lineRule="auto"/>
        <w:rPr>
          <w:rFonts w:eastAsia="Times New Roman" w:cs="Times New Roman"/>
          <w:sz w:val="24"/>
          <w:szCs w:val="28"/>
        </w:rPr>
      </w:pPr>
    </w:p>
    <w:p w:rsidR="00716EA7" w:rsidRPr="00785CC9" w:rsidRDefault="00716EA7" w:rsidP="00716EA7">
      <w:pPr>
        <w:tabs>
          <w:tab w:val="left" w:pos="993"/>
        </w:tabs>
        <w:spacing w:after="0" w:line="240" w:lineRule="auto"/>
        <w:rPr>
          <w:rFonts w:eastAsia="Times New Roman" w:cs="Times New Roman"/>
          <w:sz w:val="24"/>
          <w:szCs w:val="28"/>
        </w:rPr>
      </w:pPr>
      <w:r w:rsidRPr="00785CC9">
        <w:rPr>
          <w:rFonts w:eastAsia="Times New Roman" w:cs="Times New Roman"/>
          <w:sz w:val="24"/>
          <w:szCs w:val="28"/>
        </w:rPr>
        <w:t xml:space="preserve">Date: </w:t>
      </w:r>
      <w:r w:rsidRPr="00785CC9">
        <w:rPr>
          <w:rFonts w:eastAsia="Times New Roman" w:cs="Times New Roman"/>
          <w:sz w:val="24"/>
          <w:szCs w:val="28"/>
        </w:rPr>
        <w:tab/>
        <w:t>__________________________</w:t>
      </w:r>
    </w:p>
    <w:p w:rsidR="00716EA7" w:rsidRPr="00785CC9" w:rsidRDefault="00716EA7" w:rsidP="00716EA7">
      <w:pPr>
        <w:spacing w:after="0" w:line="240" w:lineRule="auto"/>
        <w:jc w:val="both"/>
        <w:rPr>
          <w:rFonts w:eastAsia="Times New Roman" w:cs="Times New Roman"/>
          <w:sz w:val="24"/>
          <w:szCs w:val="24"/>
        </w:rPr>
      </w:pPr>
    </w:p>
    <w:p w:rsidR="00716EA7" w:rsidRPr="00785CC9" w:rsidRDefault="00716EA7" w:rsidP="00716EA7">
      <w:pPr>
        <w:spacing w:after="0" w:line="240" w:lineRule="auto"/>
        <w:rPr>
          <w:rFonts w:eastAsia="Times New Roman" w:cs="Times New Roman"/>
          <w:sz w:val="24"/>
          <w:szCs w:val="24"/>
        </w:rPr>
      </w:pPr>
      <w:r w:rsidRPr="00785CC9">
        <w:rPr>
          <w:rFonts w:eastAsia="Times New Roman" w:cs="Times New Roman"/>
          <w:sz w:val="24"/>
          <w:szCs w:val="24"/>
        </w:rPr>
        <w:t xml:space="preserve">To be reviewed </w:t>
      </w:r>
      <w:r w:rsidR="00D259DB">
        <w:rPr>
          <w:rFonts w:eastAsia="Times New Roman" w:cs="Times New Roman"/>
          <w:sz w:val="24"/>
          <w:szCs w:val="24"/>
        </w:rPr>
        <w:t xml:space="preserve">November </w:t>
      </w:r>
      <w:r w:rsidRPr="00785CC9">
        <w:rPr>
          <w:rFonts w:eastAsia="Times New Roman" w:cs="Times New Roman"/>
          <w:sz w:val="24"/>
          <w:szCs w:val="24"/>
        </w:rPr>
        <w:t>2017.</w:t>
      </w:r>
    </w:p>
    <w:p w:rsidR="00716EA7" w:rsidRPr="00785CC9" w:rsidRDefault="00716EA7" w:rsidP="00716EA7">
      <w:pPr>
        <w:spacing w:after="0" w:line="240" w:lineRule="auto"/>
        <w:jc w:val="center"/>
        <w:rPr>
          <w:rFonts w:eastAsia="Times New Roman" w:cs="Arial"/>
          <w:b/>
          <w:sz w:val="28"/>
          <w:szCs w:val="28"/>
          <w:u w:val="single"/>
          <w:lang w:eastAsia="en-GB"/>
        </w:rPr>
      </w:pPr>
    </w:p>
    <w:p w:rsidR="00716EA7" w:rsidRPr="00785CC9" w:rsidRDefault="00716EA7" w:rsidP="00716EA7">
      <w:pPr>
        <w:spacing w:after="0" w:line="240" w:lineRule="auto"/>
        <w:rPr>
          <w:rFonts w:eastAsia="Times New Roman" w:cs="Arial"/>
          <w:sz w:val="28"/>
          <w:szCs w:val="28"/>
          <w:lang w:eastAsia="en-GB"/>
        </w:rPr>
      </w:pPr>
    </w:p>
    <w:p w:rsidR="00716EA7" w:rsidRPr="00785CC9" w:rsidRDefault="00716EA7" w:rsidP="00716EA7">
      <w:pPr>
        <w:spacing w:after="0" w:line="240" w:lineRule="auto"/>
        <w:rPr>
          <w:rFonts w:eastAsia="Times New Roman" w:cs="Arial"/>
          <w:color w:val="3366FF"/>
          <w:sz w:val="28"/>
          <w:szCs w:val="28"/>
          <w:lang w:eastAsia="en-GB"/>
        </w:rPr>
      </w:pPr>
    </w:p>
    <w:p w:rsidR="00716EA7" w:rsidRPr="00785CC9" w:rsidRDefault="00716EA7" w:rsidP="00716EA7">
      <w:pPr>
        <w:spacing w:after="0" w:line="240" w:lineRule="auto"/>
        <w:rPr>
          <w:rFonts w:eastAsia="Times New Roman" w:cs="Arial"/>
          <w:color w:val="3366FF"/>
          <w:sz w:val="28"/>
          <w:szCs w:val="28"/>
          <w:lang w:eastAsia="en-GB"/>
        </w:rPr>
      </w:pPr>
    </w:p>
    <w:p w:rsidR="002D7785" w:rsidRPr="00785CC9" w:rsidRDefault="002D7785" w:rsidP="002D7785">
      <w:pPr>
        <w:spacing w:after="0" w:line="240" w:lineRule="auto"/>
        <w:rPr>
          <w:rFonts w:eastAsia="Times New Roman" w:cs="Arial"/>
          <w:color w:val="3366FF"/>
          <w:sz w:val="28"/>
          <w:szCs w:val="28"/>
          <w:lang w:eastAsia="en-GB"/>
        </w:rPr>
      </w:pPr>
    </w:p>
    <w:p w:rsidR="002D7785" w:rsidRPr="00785CC9" w:rsidRDefault="002D7785" w:rsidP="002D7785">
      <w:pPr>
        <w:spacing w:after="0" w:line="240" w:lineRule="auto"/>
        <w:rPr>
          <w:rFonts w:eastAsia="Times New Roman" w:cs="Arial"/>
          <w:color w:val="3366FF"/>
          <w:sz w:val="28"/>
          <w:szCs w:val="28"/>
          <w:lang w:eastAsia="en-GB"/>
        </w:rPr>
      </w:pPr>
    </w:p>
    <w:p w:rsidR="002D7785" w:rsidRPr="00785CC9" w:rsidRDefault="002D7785" w:rsidP="002D7785">
      <w:pPr>
        <w:spacing w:after="0" w:line="240" w:lineRule="auto"/>
        <w:rPr>
          <w:rFonts w:eastAsia="Times New Roman" w:cs="Arial"/>
          <w:color w:val="3366FF"/>
          <w:sz w:val="28"/>
          <w:szCs w:val="28"/>
          <w:lang w:eastAsia="en-GB"/>
        </w:rPr>
      </w:pPr>
    </w:p>
    <w:p w:rsidR="002D7785" w:rsidRPr="00785CC9" w:rsidRDefault="002D7785" w:rsidP="002D7785">
      <w:pPr>
        <w:tabs>
          <w:tab w:val="left" w:pos="1800"/>
        </w:tabs>
        <w:jc w:val="center"/>
        <w:rPr>
          <w:b/>
          <w:sz w:val="28"/>
          <w:szCs w:val="28"/>
          <w:u w:val="single"/>
        </w:rPr>
      </w:pPr>
    </w:p>
    <w:sectPr w:rsidR="002D7785" w:rsidRPr="00785C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E3" w:rsidRDefault="00A153E3" w:rsidP="00A153E3">
      <w:pPr>
        <w:spacing w:after="0" w:line="240" w:lineRule="auto"/>
      </w:pPr>
      <w:r>
        <w:separator/>
      </w:r>
    </w:p>
  </w:endnote>
  <w:endnote w:type="continuationSeparator" w:id="0">
    <w:p w:rsidR="00A153E3" w:rsidRDefault="00A153E3" w:rsidP="00A1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38899"/>
      <w:docPartObj>
        <w:docPartGallery w:val="Page Numbers (Bottom of Page)"/>
        <w:docPartUnique/>
      </w:docPartObj>
    </w:sdtPr>
    <w:sdtEndPr>
      <w:rPr>
        <w:noProof/>
      </w:rPr>
    </w:sdtEndPr>
    <w:sdtContent>
      <w:p w:rsidR="00A153E3" w:rsidRDefault="00A153E3">
        <w:pPr>
          <w:pStyle w:val="Footer"/>
          <w:jc w:val="right"/>
        </w:pPr>
        <w:r>
          <w:fldChar w:fldCharType="begin"/>
        </w:r>
        <w:r>
          <w:instrText xml:space="preserve"> PAGE   \* MERGEFORMAT </w:instrText>
        </w:r>
        <w:r>
          <w:fldChar w:fldCharType="separate"/>
        </w:r>
        <w:r w:rsidR="00DF1EBD">
          <w:rPr>
            <w:noProof/>
          </w:rPr>
          <w:t>1</w:t>
        </w:r>
        <w:r>
          <w:rPr>
            <w:noProof/>
          </w:rPr>
          <w:fldChar w:fldCharType="end"/>
        </w:r>
      </w:p>
    </w:sdtContent>
  </w:sdt>
  <w:p w:rsidR="00A153E3" w:rsidRDefault="00A15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E3" w:rsidRDefault="00A153E3" w:rsidP="00A153E3">
      <w:pPr>
        <w:spacing w:after="0" w:line="240" w:lineRule="auto"/>
      </w:pPr>
      <w:r>
        <w:separator/>
      </w:r>
    </w:p>
  </w:footnote>
  <w:footnote w:type="continuationSeparator" w:id="0">
    <w:p w:rsidR="00A153E3" w:rsidRDefault="00A153E3" w:rsidP="00A15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35D5"/>
    <w:multiLevelType w:val="hybridMultilevel"/>
    <w:tmpl w:val="BBECB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0E"/>
    <w:rsid w:val="00047C0E"/>
    <w:rsid w:val="000B450E"/>
    <w:rsid w:val="002D7785"/>
    <w:rsid w:val="00410BB5"/>
    <w:rsid w:val="00424CD5"/>
    <w:rsid w:val="00435585"/>
    <w:rsid w:val="00716EA7"/>
    <w:rsid w:val="00785CC9"/>
    <w:rsid w:val="009E5021"/>
    <w:rsid w:val="00A153E3"/>
    <w:rsid w:val="00B23E7E"/>
    <w:rsid w:val="00BD0BA9"/>
    <w:rsid w:val="00C07DA0"/>
    <w:rsid w:val="00D259DB"/>
    <w:rsid w:val="00DD147A"/>
    <w:rsid w:val="00DF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0E"/>
    <w:rPr>
      <w:rFonts w:ascii="Tahoma" w:hAnsi="Tahoma" w:cs="Tahoma"/>
      <w:sz w:val="16"/>
      <w:szCs w:val="16"/>
    </w:rPr>
  </w:style>
  <w:style w:type="paragraph" w:styleId="ListParagraph">
    <w:name w:val="List Paragraph"/>
    <w:basedOn w:val="Normal"/>
    <w:uiPriority w:val="34"/>
    <w:qFormat/>
    <w:rsid w:val="00716EA7"/>
    <w:pPr>
      <w:ind w:left="720"/>
      <w:contextualSpacing/>
    </w:pPr>
  </w:style>
  <w:style w:type="paragraph" w:styleId="Header">
    <w:name w:val="header"/>
    <w:basedOn w:val="Normal"/>
    <w:link w:val="HeaderChar"/>
    <w:uiPriority w:val="99"/>
    <w:unhideWhenUsed/>
    <w:rsid w:val="00A1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E3"/>
  </w:style>
  <w:style w:type="paragraph" w:styleId="Footer">
    <w:name w:val="footer"/>
    <w:basedOn w:val="Normal"/>
    <w:link w:val="FooterChar"/>
    <w:uiPriority w:val="99"/>
    <w:unhideWhenUsed/>
    <w:rsid w:val="00A1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E3"/>
  </w:style>
  <w:style w:type="paragraph" w:styleId="Title">
    <w:name w:val="Title"/>
    <w:basedOn w:val="Normal"/>
    <w:link w:val="TitleChar"/>
    <w:qFormat/>
    <w:rsid w:val="00D259DB"/>
    <w:pPr>
      <w:overflowPunct w:val="0"/>
      <w:autoSpaceDE w:val="0"/>
      <w:autoSpaceDN w:val="0"/>
      <w:adjustRightInd w:val="0"/>
      <w:spacing w:after="0" w:line="240" w:lineRule="auto"/>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D259DB"/>
    <w:rPr>
      <w:rFonts w:ascii="Times New Roman" w:eastAsia="Times New Roman" w:hAnsi="Times New Roman" w:cs="Times New Roman"/>
      <w:b/>
      <w:sz w:val="24"/>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0E"/>
    <w:rPr>
      <w:rFonts w:ascii="Tahoma" w:hAnsi="Tahoma" w:cs="Tahoma"/>
      <w:sz w:val="16"/>
      <w:szCs w:val="16"/>
    </w:rPr>
  </w:style>
  <w:style w:type="paragraph" w:styleId="ListParagraph">
    <w:name w:val="List Paragraph"/>
    <w:basedOn w:val="Normal"/>
    <w:uiPriority w:val="34"/>
    <w:qFormat/>
    <w:rsid w:val="00716EA7"/>
    <w:pPr>
      <w:ind w:left="720"/>
      <w:contextualSpacing/>
    </w:pPr>
  </w:style>
  <w:style w:type="paragraph" w:styleId="Header">
    <w:name w:val="header"/>
    <w:basedOn w:val="Normal"/>
    <w:link w:val="HeaderChar"/>
    <w:uiPriority w:val="99"/>
    <w:unhideWhenUsed/>
    <w:rsid w:val="00A1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E3"/>
  </w:style>
  <w:style w:type="paragraph" w:styleId="Footer">
    <w:name w:val="footer"/>
    <w:basedOn w:val="Normal"/>
    <w:link w:val="FooterChar"/>
    <w:uiPriority w:val="99"/>
    <w:unhideWhenUsed/>
    <w:rsid w:val="00A1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E3"/>
  </w:style>
  <w:style w:type="paragraph" w:styleId="Title">
    <w:name w:val="Title"/>
    <w:basedOn w:val="Normal"/>
    <w:link w:val="TitleChar"/>
    <w:qFormat/>
    <w:rsid w:val="00D259DB"/>
    <w:pPr>
      <w:overflowPunct w:val="0"/>
      <w:autoSpaceDE w:val="0"/>
      <w:autoSpaceDN w:val="0"/>
      <w:adjustRightInd w:val="0"/>
      <w:spacing w:after="0" w:line="240" w:lineRule="auto"/>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D259DB"/>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1D75C56E</Template>
  <TotalTime>0</TotalTime>
  <Pages>3</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Finlay</dc:creator>
  <cp:lastModifiedBy>P Smith</cp:lastModifiedBy>
  <cp:revision>2</cp:revision>
  <cp:lastPrinted>2016-08-22T11:01:00Z</cp:lastPrinted>
  <dcterms:created xsi:type="dcterms:W3CDTF">2016-11-24T17:30:00Z</dcterms:created>
  <dcterms:modified xsi:type="dcterms:W3CDTF">2016-11-24T17:30:00Z</dcterms:modified>
</cp:coreProperties>
</file>